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5DAE1" w14:textId="77777777" w:rsidR="00CC4FA4" w:rsidRDefault="00CC4FA4" w:rsidP="00CC4FA4">
      <w:pPr>
        <w:pStyle w:val="Ttulo"/>
        <w:spacing w:line="192" w:lineRule="auto"/>
        <w:ind w:left="0" w:right="15" w:firstLine="0"/>
        <w:jc w:val="center"/>
        <w:rPr>
          <w:rFonts w:ascii="gobCL" w:eastAsia="Tahoma" w:hAnsi="gobCL" w:cs="Arial"/>
          <w:b w:val="0"/>
          <w:spacing w:val="-8"/>
          <w:sz w:val="28"/>
          <w:szCs w:val="28"/>
        </w:rPr>
      </w:pPr>
      <w:bookmarkStart w:id="0" w:name="_GoBack"/>
      <w:bookmarkEnd w:id="0"/>
      <w:r w:rsidRPr="002267E6">
        <w:rPr>
          <w:rFonts w:ascii="gobCL" w:eastAsia="Tahoma" w:hAnsi="gobCL" w:cs="Arial"/>
          <w:b w:val="0"/>
          <w:spacing w:val="-8"/>
          <w:sz w:val="28"/>
          <w:szCs w:val="28"/>
        </w:rPr>
        <w:t>Carta para padres, apoderados y/o tutores sobre Puesta al día de Vacunación</w:t>
      </w:r>
    </w:p>
    <w:p w14:paraId="2313C765" w14:textId="17D101EC" w:rsidR="00E37D3A" w:rsidRDefault="00CC4FA4" w:rsidP="00E37D3A">
      <w:pPr>
        <w:pStyle w:val="Ttulo"/>
        <w:spacing w:line="192" w:lineRule="auto"/>
        <w:ind w:left="0" w:right="15" w:firstLine="0"/>
        <w:jc w:val="center"/>
        <w:rPr>
          <w:rFonts w:ascii="gobCL" w:eastAsia="Tahoma" w:hAnsi="gobCL" w:cs="Arial"/>
          <w:b w:val="0"/>
          <w:spacing w:val="-8"/>
          <w:sz w:val="28"/>
          <w:szCs w:val="28"/>
        </w:rPr>
      </w:pPr>
      <w:r w:rsidRPr="002267E6">
        <w:rPr>
          <w:rFonts w:ascii="gobCL" w:eastAsia="Tahoma" w:hAnsi="gobCL" w:cs="Arial"/>
          <w:b w:val="0"/>
          <w:spacing w:val="-8"/>
          <w:sz w:val="28"/>
          <w:szCs w:val="28"/>
        </w:rPr>
        <w:t>contra Sarampión, Rubéola y Parotiditis (SRP) en escolares de 1° y 2º año básico</w:t>
      </w:r>
      <w:r>
        <w:rPr>
          <w:rFonts w:ascii="gobCL" w:eastAsia="Tahoma" w:hAnsi="gobCL" w:cs="Arial"/>
          <w:b w:val="0"/>
          <w:spacing w:val="-8"/>
          <w:sz w:val="28"/>
          <w:szCs w:val="28"/>
        </w:rPr>
        <w:t xml:space="preserve"> </w:t>
      </w:r>
      <w:r w:rsidRPr="002267E6">
        <w:rPr>
          <w:rFonts w:ascii="gobCL" w:eastAsia="Tahoma" w:hAnsi="gobCL" w:cs="Arial"/>
          <w:b w:val="0"/>
          <w:spacing w:val="-8"/>
          <w:sz w:val="28"/>
          <w:szCs w:val="28"/>
        </w:rPr>
        <w:t>2025</w:t>
      </w:r>
      <w:r w:rsidR="00E37D3A">
        <w:rPr>
          <w:rFonts w:ascii="gobCL" w:eastAsia="Tahoma" w:hAnsi="gobCL" w:cs="Arial"/>
          <w:b w:val="0"/>
          <w:spacing w:val="-8"/>
          <w:sz w:val="28"/>
          <w:szCs w:val="28"/>
        </w:rPr>
        <w:t xml:space="preserve"> y VPH nonavalente en escolares de 5° básico</w:t>
      </w:r>
    </w:p>
    <w:p w14:paraId="48D52B95" w14:textId="1AE25435" w:rsidR="00E37D3A" w:rsidRPr="002267E6" w:rsidRDefault="00E37D3A" w:rsidP="00CC4FA4">
      <w:pPr>
        <w:pStyle w:val="Ttulo"/>
        <w:spacing w:line="192" w:lineRule="auto"/>
        <w:ind w:left="0" w:right="15" w:firstLine="0"/>
        <w:jc w:val="center"/>
        <w:rPr>
          <w:rFonts w:ascii="gobCL" w:eastAsia="Tahoma" w:hAnsi="gobCL" w:cs="Arial"/>
          <w:b w:val="0"/>
          <w:spacing w:val="-8"/>
          <w:sz w:val="28"/>
          <w:szCs w:val="28"/>
        </w:rPr>
      </w:pPr>
      <w:r w:rsidRPr="00E37D3A">
        <w:rPr>
          <w:rFonts w:ascii="gobCL" w:eastAsia="Tahoma" w:hAnsi="gobCL" w:cs="Arial"/>
          <w:b w:val="0"/>
          <w:spacing w:val="-8"/>
          <w:sz w:val="28"/>
          <w:szCs w:val="28"/>
        </w:rPr>
        <w:t xml:space="preserve">COLEGIO </w:t>
      </w:r>
      <w:r w:rsidR="00EF2C84">
        <w:rPr>
          <w:rFonts w:ascii="gobCL" w:eastAsia="Tahoma" w:hAnsi="gobCL" w:cs="Arial"/>
          <w:b w:val="0"/>
          <w:spacing w:val="-8"/>
          <w:sz w:val="28"/>
          <w:szCs w:val="28"/>
        </w:rPr>
        <w:t>LOS ALPES</w:t>
      </w:r>
    </w:p>
    <w:p w14:paraId="217C1371" w14:textId="77777777" w:rsidR="00CC4FA4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C5B9850" w14:textId="07E9700B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Estimados padres apoderados y/o tutores:</w:t>
      </w:r>
    </w:p>
    <w:p w14:paraId="40EF2395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3134F049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Junto con saludar informo a usted que, durante el segundo semestre de este año 2025, se realiza la puesta al día de los escolares de </w:t>
      </w:r>
      <w:r w:rsidRPr="002267E6">
        <w:rPr>
          <w:rFonts w:ascii="gobCL" w:hAnsi="gobCL" w:cs="Arial"/>
          <w:b/>
          <w:spacing w:val="-8"/>
          <w:sz w:val="22"/>
          <w:szCs w:val="22"/>
        </w:rPr>
        <w:t>1° y 2° básico</w:t>
      </w:r>
      <w:r w:rsidRPr="002267E6">
        <w:rPr>
          <w:rFonts w:ascii="gobCL" w:hAnsi="gobCL" w:cs="Arial"/>
          <w:bCs/>
          <w:spacing w:val="-8"/>
          <w:sz w:val="22"/>
          <w:szCs w:val="22"/>
        </w:rPr>
        <w:t>, que no han iniciado esquema de vacunación contra Sarampión, Rubéola y Parotiditis (SRP) o cuentan con solo 1 dosis de vacuna. La normativa establece que un esquema de vacunación infantil contra Sarampión debe ser de 2 dosis para proteger al escolar de estas enfermedades.</w:t>
      </w:r>
    </w:p>
    <w:p w14:paraId="56F2DC3C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3DF7E115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El Sarampión es una enfermedad aguda producida por el virus sarampión, de la familia </w:t>
      </w:r>
      <w:proofErr w:type="spellStart"/>
      <w:r w:rsidRPr="00CC4FA4">
        <w:rPr>
          <w:rFonts w:ascii="gobCL" w:hAnsi="gobCL" w:cs="Arial"/>
          <w:bCs/>
          <w:i/>
          <w:iCs/>
          <w:spacing w:val="-8"/>
          <w:sz w:val="22"/>
          <w:szCs w:val="22"/>
        </w:rPr>
        <w:t>Paramyxoviridae</w:t>
      </w:r>
      <w:proofErr w:type="spellEnd"/>
      <w:r w:rsidRPr="002267E6">
        <w:rPr>
          <w:rFonts w:ascii="gobCL" w:hAnsi="gobCL" w:cs="Arial"/>
          <w:bCs/>
          <w:spacing w:val="-8"/>
          <w:sz w:val="22"/>
          <w:szCs w:val="22"/>
        </w:rPr>
        <w:t>, que se caracteriza por fiebre, coriza, conjuntivitis, exantema (manchas parduzcas que comienzan en la cara y luego se generalizan) con una duración de 4 a 7 días. Aproximadamente el 30% de los casos presentan algunas complicaciones como otitis, neumonía, laringotraqueobronquitis siendo más comunes en niños pequeños.</w:t>
      </w:r>
    </w:p>
    <w:p w14:paraId="6982C30F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8820DE2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En Chile, la enfermedad fue eliminada en 1992, y a partir de 1993 se han presentado casos aislados, asociados a viajeros que ingresan al país enfermos.</w:t>
      </w:r>
    </w:p>
    <w:p w14:paraId="105B8579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221C3BCA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Desde el 03 de enero de 2022 se modificó la edad de administración de la 2° dosis de vacuna contra SRP, cambiado la vacunación de 1º básico a los 36 meses de edad, con el objetivo de garantizar la protección temprana de la población infantil para disminuir el riesgo de enfermar, requerir hospitalización o eventualmente morir por alguna de estas enfermedades.</w:t>
      </w:r>
    </w:p>
    <w:p w14:paraId="302E7D24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2EF7515" w14:textId="77777777" w:rsidR="00E37D3A" w:rsidRPr="002267E6" w:rsidRDefault="00E37D3A" w:rsidP="00E37D3A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Las reacciones que se pueden asociar a la vacuna SRP son:</w:t>
      </w:r>
    </w:p>
    <w:p w14:paraId="018874A4" w14:textId="77777777" w:rsidR="00E37D3A" w:rsidRPr="002267E6" w:rsidRDefault="00E37D3A" w:rsidP="00E37D3A">
      <w:pPr>
        <w:pStyle w:val="Textoindependiente"/>
        <w:numPr>
          <w:ilvl w:val="0"/>
          <w:numId w:val="6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Erupciones rojas en la piel entre 5 a 12 días, después de ser vacunado</w:t>
      </w:r>
    </w:p>
    <w:p w14:paraId="6AEF6F53" w14:textId="77777777" w:rsidR="00E37D3A" w:rsidRPr="002267E6" w:rsidRDefault="00E37D3A" w:rsidP="00E37D3A">
      <w:pPr>
        <w:pStyle w:val="Textoindependiente"/>
        <w:numPr>
          <w:ilvl w:val="0"/>
          <w:numId w:val="6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Fiebre menor de 39ºC, entre 5 a 12 días después de ser vacunados que persiste por 2 a 3 días</w:t>
      </w:r>
    </w:p>
    <w:p w14:paraId="7E8EA262" w14:textId="77777777" w:rsidR="00E37D3A" w:rsidRPr="002267E6" w:rsidRDefault="00E37D3A" w:rsidP="00E37D3A">
      <w:pPr>
        <w:pStyle w:val="Textoindependiente"/>
        <w:numPr>
          <w:ilvl w:val="0"/>
          <w:numId w:val="6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Inflamación de ganglios</w:t>
      </w:r>
    </w:p>
    <w:p w14:paraId="40F8903F" w14:textId="77777777" w:rsidR="00E37D3A" w:rsidRPr="002267E6" w:rsidRDefault="00E37D3A" w:rsidP="00E37D3A">
      <w:pPr>
        <w:pStyle w:val="Textoindependiente"/>
        <w:numPr>
          <w:ilvl w:val="0"/>
          <w:numId w:val="6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Presencia de mucosidad en nariz y garganta</w:t>
      </w:r>
    </w:p>
    <w:p w14:paraId="1AC2AA77" w14:textId="77777777" w:rsidR="00E37D3A" w:rsidRPr="002267E6" w:rsidRDefault="00E37D3A" w:rsidP="00E37D3A">
      <w:pPr>
        <w:pStyle w:val="Textoindependiente"/>
        <w:numPr>
          <w:ilvl w:val="0"/>
          <w:numId w:val="6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Dolor articular</w:t>
      </w:r>
    </w:p>
    <w:p w14:paraId="39124816" w14:textId="77777777" w:rsidR="00E37D3A" w:rsidRDefault="00E37D3A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9A6220A" w14:textId="39B00CA2" w:rsidR="00E37D3A" w:rsidRPr="000E2D82" w:rsidRDefault="00E37D3A" w:rsidP="00E37D3A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>
        <w:rPr>
          <w:rFonts w:ascii="gobCL" w:hAnsi="gobCL" w:cs="Arial"/>
          <w:bCs/>
          <w:spacing w:val="-8"/>
          <w:sz w:val="22"/>
          <w:szCs w:val="22"/>
        </w:rPr>
        <w:t xml:space="preserve">Además </w:t>
      </w:r>
      <w:r w:rsidRPr="000E2D82">
        <w:rPr>
          <w:rFonts w:ascii="gobCL" w:hAnsi="gobCL" w:cs="Arial"/>
          <w:bCs/>
          <w:spacing w:val="-8"/>
          <w:sz w:val="22"/>
          <w:szCs w:val="22"/>
        </w:rPr>
        <w:t xml:space="preserve">durante el segundo semestre de este año 2025, se realiza la puesta al día de los escolares que actualmente están cursando </w:t>
      </w:r>
      <w:r w:rsidRPr="000E2D82">
        <w:rPr>
          <w:rFonts w:ascii="gobCL" w:hAnsi="gobCL" w:cs="Arial"/>
          <w:b/>
          <w:spacing w:val="-8"/>
          <w:sz w:val="22"/>
          <w:szCs w:val="22"/>
        </w:rPr>
        <w:t xml:space="preserve">5° año básico, </w:t>
      </w:r>
      <w:r w:rsidRPr="000E2D82">
        <w:rPr>
          <w:rFonts w:ascii="gobCL" w:hAnsi="gobCL" w:cs="Arial"/>
          <w:bCs/>
          <w:spacing w:val="-8"/>
          <w:sz w:val="22"/>
          <w:szCs w:val="22"/>
        </w:rPr>
        <w:t xml:space="preserve">los que corresponden a la cohorte de 4° año que recibió vacuna VPH nonavalente durante el 2024 y no fueron vacunados con dosis única por algún motivo. </w:t>
      </w:r>
    </w:p>
    <w:p w14:paraId="5574AD8D" w14:textId="77777777" w:rsidR="00E37D3A" w:rsidRPr="000E2D82" w:rsidRDefault="00E37D3A" w:rsidP="00E37D3A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7832E4D8" w14:textId="77777777" w:rsidR="00E37D3A" w:rsidRPr="000E2D82" w:rsidRDefault="00E37D3A" w:rsidP="00E37D3A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0E2D82">
        <w:rPr>
          <w:rFonts w:ascii="gobCL" w:hAnsi="gobCL" w:cs="Arial"/>
          <w:bCs/>
          <w:spacing w:val="-8"/>
          <w:sz w:val="22"/>
          <w:szCs w:val="22"/>
        </w:rPr>
        <w:t xml:space="preserve">El objetivo sanitario de la intervención es prevenir las enfermedades y muertes causadas por Virus Papiloma Humano (VPH), a través de la administración de vacuna VPH nonavalente que protege contra los serotipos 6, 11, 16, 18, 31, 33, 45, 52 y 58. A continuación se señalan las enfermedades más comunes que causa este virus: </w:t>
      </w:r>
    </w:p>
    <w:p w14:paraId="53821E84" w14:textId="77777777" w:rsidR="00E37D3A" w:rsidRPr="000E2D82" w:rsidRDefault="00E37D3A" w:rsidP="00E37D3A">
      <w:pPr>
        <w:pStyle w:val="Textoindependiente"/>
        <w:spacing w:line="264" w:lineRule="auto"/>
        <w:ind w:right="15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0D3CD13" w14:textId="76B11AA0" w:rsidR="00E37D3A" w:rsidRPr="00E37D3A" w:rsidRDefault="00E37D3A" w:rsidP="00E37D3A">
      <w:pPr>
        <w:pStyle w:val="Default"/>
        <w:numPr>
          <w:ilvl w:val="0"/>
          <w:numId w:val="9"/>
        </w:numPr>
        <w:ind w:left="426" w:right="15"/>
        <w:jc w:val="both"/>
        <w:rPr>
          <w:rFonts w:ascii="gobCL" w:eastAsia="Tahoma" w:hAnsi="gobCL" w:cs="Arial"/>
          <w:bCs/>
          <w:color w:val="auto"/>
          <w:spacing w:val="-8"/>
          <w:sz w:val="22"/>
          <w:szCs w:val="22"/>
          <w:lang w:val="es-ES" w:eastAsia="en-US"/>
        </w:rPr>
      </w:pPr>
      <w:r w:rsidRPr="000E2D82">
        <w:rPr>
          <w:rFonts w:ascii="gobCL" w:eastAsia="Tahoma" w:hAnsi="gobCL" w:cs="Arial"/>
          <w:b/>
          <w:color w:val="auto"/>
          <w:spacing w:val="-8"/>
          <w:sz w:val="22"/>
          <w:szCs w:val="22"/>
          <w:lang w:val="es-ES" w:eastAsia="en-US"/>
        </w:rPr>
        <w:t>Cáncer genital:</w:t>
      </w:r>
      <w:r w:rsidRPr="000E2D82">
        <w:rPr>
          <w:rFonts w:ascii="gobCL" w:eastAsia="Tahoma" w:hAnsi="gobCL" w:cs="Arial"/>
          <w:bCs/>
          <w:color w:val="auto"/>
          <w:spacing w:val="-8"/>
          <w:sz w:val="22"/>
          <w:szCs w:val="22"/>
          <w:lang w:val="es-ES" w:eastAsia="en-US"/>
        </w:rPr>
        <w:t xml:space="preserve"> Son producidos por la infección con genotipos de VPH de alto riesgo (VPH 16, 18, 31, 33, 45, 52 y 58), y pueden provocar cáncer de cuello del útero, vaginal, vulva, cáncer anal, y cáncer en la garganta o boca. En las mujeres, el cáncer de cuello del útero es responsable de más de 600 defunciones al año y es la segunda causa de muerte por cáncer en mujeres en edad adulta en Chile. En hombres el VPH está asociado a cáncer de ano, pene y algunos tipos de cáncer de boca y faringe. </w:t>
      </w:r>
    </w:p>
    <w:p w14:paraId="03575ED8" w14:textId="386ABE2A" w:rsidR="00E37D3A" w:rsidRPr="00E37D3A" w:rsidRDefault="00E37D3A" w:rsidP="00E37D3A">
      <w:pPr>
        <w:pStyle w:val="Default"/>
        <w:numPr>
          <w:ilvl w:val="0"/>
          <w:numId w:val="9"/>
        </w:numPr>
        <w:ind w:left="426" w:right="15"/>
        <w:jc w:val="both"/>
        <w:rPr>
          <w:rFonts w:ascii="gobCL" w:eastAsia="Tahoma" w:hAnsi="gobCL" w:cs="Arial"/>
          <w:bCs/>
          <w:color w:val="auto"/>
          <w:spacing w:val="-8"/>
          <w:sz w:val="22"/>
          <w:szCs w:val="22"/>
          <w:lang w:val="es-ES" w:eastAsia="en-US"/>
        </w:rPr>
      </w:pPr>
      <w:r w:rsidRPr="000E2D82">
        <w:rPr>
          <w:rFonts w:ascii="gobCL" w:eastAsia="Tahoma" w:hAnsi="gobCL" w:cs="Arial"/>
          <w:b/>
          <w:color w:val="auto"/>
          <w:spacing w:val="-8"/>
          <w:sz w:val="22"/>
          <w:szCs w:val="22"/>
          <w:lang w:val="es-ES" w:eastAsia="en-US"/>
        </w:rPr>
        <w:t>Verrugas genitales:</w:t>
      </w:r>
      <w:r w:rsidRPr="000E2D82">
        <w:rPr>
          <w:rFonts w:ascii="gobCL" w:eastAsia="Tahoma" w:hAnsi="gobCL" w:cs="Arial"/>
          <w:bCs/>
          <w:color w:val="auto"/>
          <w:spacing w:val="-8"/>
          <w:sz w:val="22"/>
          <w:szCs w:val="22"/>
          <w:lang w:val="es-ES" w:eastAsia="en-US"/>
        </w:rPr>
        <w:t xml:space="preserve"> Son producidas por la infección con genotipos de VPH bajo riesgo (VPH 6 y 11). Los condilomas son lesiones en la piel y en las membranas mucosas de los genitales. Se pueden encontrar en pene, vulva, uretra, vagina, cuello uterino, así como dentro y alrededor del ano. </w:t>
      </w:r>
    </w:p>
    <w:p w14:paraId="49DE3B8A" w14:textId="6D9F0A60" w:rsidR="00E37D3A" w:rsidRPr="000E2D82" w:rsidRDefault="00E37D3A" w:rsidP="00E37D3A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0E2D82">
        <w:rPr>
          <w:rFonts w:ascii="gobCL" w:hAnsi="gobCL" w:cs="Arial"/>
          <w:bCs/>
          <w:spacing w:val="-8"/>
          <w:sz w:val="22"/>
          <w:szCs w:val="22"/>
        </w:rPr>
        <w:lastRenderedPageBreak/>
        <w:t>Las reacciones que se pueden presentar a la vacuna VPH son:</w:t>
      </w:r>
    </w:p>
    <w:p w14:paraId="59F23582" w14:textId="77777777" w:rsidR="00E37D3A" w:rsidRPr="000E2D82" w:rsidRDefault="00E37D3A" w:rsidP="00E37D3A">
      <w:pPr>
        <w:pStyle w:val="Textoindependiente"/>
        <w:numPr>
          <w:ilvl w:val="0"/>
          <w:numId w:val="10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0E2D82">
        <w:rPr>
          <w:rFonts w:ascii="gobCL" w:hAnsi="gobCL" w:cs="Arial"/>
          <w:bCs/>
          <w:spacing w:val="-8"/>
          <w:sz w:val="22"/>
          <w:szCs w:val="22"/>
        </w:rPr>
        <w:t>Enrojecimiento en la zona de punción.</w:t>
      </w:r>
    </w:p>
    <w:p w14:paraId="3BFBA4D4" w14:textId="77777777" w:rsidR="00E37D3A" w:rsidRPr="000E2D82" w:rsidRDefault="00E37D3A" w:rsidP="00E37D3A">
      <w:pPr>
        <w:pStyle w:val="Textoindependiente"/>
        <w:numPr>
          <w:ilvl w:val="0"/>
          <w:numId w:val="10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0E2D82">
        <w:rPr>
          <w:rFonts w:ascii="gobCL" w:hAnsi="gobCL" w:cs="Arial"/>
          <w:bCs/>
          <w:spacing w:val="-8"/>
          <w:sz w:val="22"/>
          <w:szCs w:val="22"/>
        </w:rPr>
        <w:t>Dolor sitio de punción.</w:t>
      </w:r>
    </w:p>
    <w:p w14:paraId="3FEF225F" w14:textId="77777777" w:rsidR="00E37D3A" w:rsidRPr="000E2D82" w:rsidRDefault="00E37D3A" w:rsidP="00E37D3A">
      <w:pPr>
        <w:pStyle w:val="Textoindependiente"/>
        <w:numPr>
          <w:ilvl w:val="0"/>
          <w:numId w:val="10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0E2D82">
        <w:rPr>
          <w:rFonts w:ascii="gobCL" w:hAnsi="gobCL" w:cs="Arial"/>
          <w:bCs/>
          <w:spacing w:val="-8"/>
          <w:sz w:val="22"/>
          <w:szCs w:val="22"/>
        </w:rPr>
        <w:t>Aumento de volumen en la zona punción.</w:t>
      </w:r>
    </w:p>
    <w:p w14:paraId="58C35BD0" w14:textId="50FFB616" w:rsidR="00E37D3A" w:rsidRDefault="00E37D3A" w:rsidP="00CC4FA4">
      <w:pPr>
        <w:pStyle w:val="Textoindependiente"/>
        <w:numPr>
          <w:ilvl w:val="0"/>
          <w:numId w:val="10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0E2D82">
        <w:rPr>
          <w:rFonts w:ascii="gobCL" w:hAnsi="gobCL" w:cs="Arial"/>
          <w:bCs/>
          <w:spacing w:val="-8"/>
          <w:sz w:val="22"/>
          <w:szCs w:val="22"/>
        </w:rPr>
        <w:t>Picazón en la zona de punción.</w:t>
      </w:r>
    </w:p>
    <w:p w14:paraId="7CF93CA2" w14:textId="77777777" w:rsidR="00E37D3A" w:rsidRPr="00E37D3A" w:rsidRDefault="00E37D3A" w:rsidP="00E37D3A">
      <w:pPr>
        <w:pStyle w:val="Textoindependiente"/>
        <w:spacing w:line="264" w:lineRule="auto"/>
        <w:ind w:left="720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0C32FD8F" w14:textId="00982078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Esta</w:t>
      </w:r>
      <w:r w:rsidR="00E37D3A">
        <w:rPr>
          <w:rFonts w:ascii="gobCL" w:hAnsi="gobCL" w:cs="Arial"/>
          <w:bCs/>
          <w:spacing w:val="-8"/>
          <w:sz w:val="22"/>
          <w:szCs w:val="22"/>
        </w:rPr>
        <w:t>s</w:t>
      </w: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 estrategia</w:t>
      </w:r>
      <w:r w:rsidR="00E37D3A">
        <w:rPr>
          <w:rFonts w:ascii="gobCL" w:hAnsi="gobCL" w:cs="Arial"/>
          <w:bCs/>
          <w:spacing w:val="-8"/>
          <w:sz w:val="22"/>
          <w:szCs w:val="22"/>
        </w:rPr>
        <w:t>s</w:t>
      </w: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 beneficia</w:t>
      </w:r>
      <w:r w:rsidR="00E37D3A">
        <w:rPr>
          <w:rFonts w:ascii="gobCL" w:hAnsi="gobCL" w:cs="Arial"/>
          <w:bCs/>
          <w:spacing w:val="-8"/>
          <w:sz w:val="22"/>
          <w:szCs w:val="22"/>
        </w:rPr>
        <w:t>n</w:t>
      </w: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 a la totalidad de escolares que viven en Chile, es instruida por el Ministerio de Salud y se realiza en todos los establecimientos educacionales públicos y privados del país. Su administración tiene carácter </w:t>
      </w:r>
      <w:r w:rsidRPr="002267E6">
        <w:rPr>
          <w:rFonts w:ascii="gobCL" w:hAnsi="gobCL" w:cs="Arial"/>
          <w:b/>
          <w:spacing w:val="-8"/>
          <w:sz w:val="22"/>
          <w:szCs w:val="22"/>
        </w:rPr>
        <w:t>OBLIGATORIO</w:t>
      </w: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, por lo que </w:t>
      </w:r>
      <w:r w:rsidRPr="002267E6">
        <w:rPr>
          <w:rFonts w:ascii="gobCL" w:hAnsi="gobCL" w:cs="Arial"/>
          <w:b/>
          <w:spacing w:val="-8"/>
          <w:sz w:val="22"/>
          <w:szCs w:val="22"/>
        </w:rPr>
        <w:t>NO REQUIERE</w:t>
      </w: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 autorización por medio de firma de consentimiento informado de los padres y/o apoderados, en conformidad con lo establecido en el artículo 32º del Código Sanitario, el Decreto Exento N°50 del 2021 y sus posteriores modificaciones.  Por lo anterior, se ha dispuesto la vacunación en establecimientos educacionales públicos y privados, de todos los escolares que cursen de 1° y 2° año básico que no hayan iniciado o completado sus esquemas de esta vacuna.</w:t>
      </w:r>
    </w:p>
    <w:p w14:paraId="41728C38" w14:textId="1ADFCBF0" w:rsidR="00CC4FA4" w:rsidRPr="002267E6" w:rsidRDefault="00CC4FA4" w:rsidP="00CC4FA4">
      <w:pPr>
        <w:pStyle w:val="Textoindependiente"/>
        <w:tabs>
          <w:tab w:val="left" w:pos="8789"/>
        </w:tabs>
        <w:spacing w:before="197"/>
        <w:ind w:right="15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Considerando todos los antecedentes expuestos, le solicitamos que, en caso de que su hijo/a o pupilo/a, presente alguna condición que amerite precauciones especiales o alguna contraindicación para ser vacunado, informe esta situación a través de un certificado médico y de forma oportuna al profesor jefe del curso.</w:t>
      </w:r>
    </w:p>
    <w:p w14:paraId="627A0B58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7F122859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/>
          <w:spacing w:val="-8"/>
          <w:sz w:val="22"/>
          <w:szCs w:val="22"/>
        </w:rPr>
      </w:pPr>
      <w:r w:rsidRPr="002267E6">
        <w:rPr>
          <w:rFonts w:ascii="gobCL" w:hAnsi="gobCL" w:cs="Arial"/>
          <w:b/>
          <w:spacing w:val="-8"/>
          <w:sz w:val="22"/>
          <w:szCs w:val="22"/>
        </w:rPr>
        <w:t xml:space="preserve">¿Quiénes no deben vacunarse? </w:t>
      </w:r>
    </w:p>
    <w:p w14:paraId="76A2E86C" w14:textId="77777777" w:rsidR="00CC4FA4" w:rsidRPr="002267E6" w:rsidRDefault="00CC4FA4" w:rsidP="00CC4FA4">
      <w:pPr>
        <w:pStyle w:val="Textoindependiente"/>
        <w:numPr>
          <w:ilvl w:val="0"/>
          <w:numId w:val="7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Personas que hayan tenido una reacción alérgica </w:t>
      </w:r>
      <w:r w:rsidRPr="002267E6">
        <w:rPr>
          <w:rFonts w:ascii="gobCL" w:hAnsi="gobCL" w:cs="Arial"/>
          <w:b/>
          <w:spacing w:val="-8"/>
          <w:sz w:val="22"/>
          <w:szCs w:val="22"/>
        </w:rPr>
        <w:t xml:space="preserve">SEVERA </w:t>
      </w:r>
      <w:r w:rsidRPr="002267E6">
        <w:rPr>
          <w:rFonts w:ascii="gobCL" w:hAnsi="gobCL" w:cs="Arial"/>
          <w:bCs/>
          <w:spacing w:val="-8"/>
          <w:sz w:val="22"/>
          <w:szCs w:val="22"/>
        </w:rPr>
        <w:t>(anafilaxia) a algún componente de la vacuna antes mencionada, en dosis anteriores, evidenciada por médico (certificado médico).</w:t>
      </w:r>
    </w:p>
    <w:p w14:paraId="62BB6E72" w14:textId="77777777" w:rsidR="00CC4FA4" w:rsidRDefault="00CC4FA4" w:rsidP="00CC4FA4">
      <w:pPr>
        <w:pStyle w:val="Textoindependiente"/>
        <w:numPr>
          <w:ilvl w:val="0"/>
          <w:numId w:val="7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Personas con inmunodeficiencia congénita o adquirida.</w:t>
      </w:r>
    </w:p>
    <w:p w14:paraId="2F7B7E6A" w14:textId="5C90CE2D" w:rsidR="00E37D3A" w:rsidRPr="000E2D82" w:rsidRDefault="00E37D3A" w:rsidP="00E37D3A">
      <w:pPr>
        <w:pStyle w:val="Textoindependiente"/>
        <w:numPr>
          <w:ilvl w:val="0"/>
          <w:numId w:val="7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0E2D82">
        <w:rPr>
          <w:rFonts w:ascii="gobCL" w:hAnsi="gobCL" w:cs="Arial"/>
          <w:bCs/>
          <w:spacing w:val="-8"/>
          <w:sz w:val="22"/>
          <w:szCs w:val="22"/>
        </w:rPr>
        <w:t>E</w:t>
      </w:r>
      <w:r>
        <w:rPr>
          <w:rFonts w:ascii="gobCL" w:hAnsi="gobCL" w:cs="Arial"/>
          <w:bCs/>
          <w:spacing w:val="-8"/>
          <w:sz w:val="22"/>
          <w:szCs w:val="22"/>
        </w:rPr>
        <w:t>n el caso de la vacuna VPH nonavalente, e</w:t>
      </w:r>
      <w:r w:rsidRPr="000E2D82">
        <w:rPr>
          <w:rFonts w:ascii="gobCL" w:hAnsi="gobCL" w:cs="Arial"/>
          <w:bCs/>
          <w:spacing w:val="-8"/>
          <w:sz w:val="22"/>
          <w:szCs w:val="22"/>
        </w:rPr>
        <w:t xml:space="preserve">scolares que el año anterior ya hayan recibido esta vacuna única. </w:t>
      </w:r>
    </w:p>
    <w:p w14:paraId="4B88E4F4" w14:textId="77777777" w:rsidR="00CC4FA4" w:rsidRPr="002267E6" w:rsidRDefault="00CC4FA4" w:rsidP="00CC4FA4">
      <w:pPr>
        <w:pStyle w:val="Textoindependiente"/>
        <w:spacing w:line="264" w:lineRule="auto"/>
        <w:ind w:left="720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DC440CD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/>
          <w:spacing w:val="-8"/>
          <w:sz w:val="22"/>
          <w:szCs w:val="22"/>
        </w:rPr>
      </w:pPr>
      <w:r w:rsidRPr="002267E6">
        <w:rPr>
          <w:rFonts w:ascii="gobCL" w:hAnsi="gobCL" w:cs="Arial"/>
          <w:b/>
          <w:spacing w:val="-8"/>
          <w:sz w:val="22"/>
          <w:szCs w:val="22"/>
        </w:rPr>
        <w:t xml:space="preserve">¿Quiénes deben esperar un tiempo para vacunarse? </w:t>
      </w:r>
    </w:p>
    <w:p w14:paraId="4CF6E259" w14:textId="77777777" w:rsidR="00CC4FA4" w:rsidRPr="002267E6" w:rsidRDefault="00CC4FA4" w:rsidP="00CC4FA4">
      <w:pPr>
        <w:pStyle w:val="Textoindependiente"/>
        <w:numPr>
          <w:ilvl w:val="0"/>
          <w:numId w:val="8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Personas que cursen enfermedad aguda </w:t>
      </w:r>
      <w:r w:rsidRPr="002267E6">
        <w:rPr>
          <w:rFonts w:ascii="gobCL" w:hAnsi="gobCL" w:cs="Arial"/>
          <w:b/>
          <w:spacing w:val="-8"/>
          <w:sz w:val="22"/>
          <w:szCs w:val="22"/>
        </w:rPr>
        <w:t>SEVERA</w:t>
      </w: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, por ejemplo: neumonía, meningitis, sepsis. </w:t>
      </w:r>
    </w:p>
    <w:p w14:paraId="36563D0F" w14:textId="77777777" w:rsidR="00CC4FA4" w:rsidRPr="002267E6" w:rsidRDefault="00CC4FA4" w:rsidP="00CC4FA4">
      <w:pPr>
        <w:pStyle w:val="Textoindependiente"/>
        <w:numPr>
          <w:ilvl w:val="0"/>
          <w:numId w:val="8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 xml:space="preserve">Escolares con fiebre mayor a 38,5ºC axilar. </w:t>
      </w:r>
    </w:p>
    <w:p w14:paraId="2571424A" w14:textId="77777777" w:rsidR="00CC4FA4" w:rsidRPr="002267E6" w:rsidRDefault="00CC4FA4" w:rsidP="00CC4FA4">
      <w:pPr>
        <w:pStyle w:val="Textoindependiente"/>
        <w:numPr>
          <w:ilvl w:val="0"/>
          <w:numId w:val="8"/>
        </w:numPr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Personas que hayan recibido productos sanguíneos o inmunoglobulinas en los últimos 3 a 12 meses.</w:t>
      </w:r>
    </w:p>
    <w:p w14:paraId="0508E28F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40E83AFA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En ausencia de antecedentes médicos, se asumirá que no existen contraindicaciones ni otros impedimentos, por lo cual se procederá a vacunar a los/as alumnos/as.</w:t>
      </w:r>
    </w:p>
    <w:p w14:paraId="282B570C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21B7331D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/>
          <w:spacing w:val="-8"/>
          <w:sz w:val="22"/>
          <w:szCs w:val="22"/>
        </w:rPr>
      </w:pPr>
      <w:r w:rsidRPr="002267E6">
        <w:rPr>
          <w:rFonts w:ascii="gobCL" w:hAnsi="gobCL" w:cs="Arial"/>
          <w:b/>
          <w:spacing w:val="-8"/>
          <w:sz w:val="22"/>
          <w:szCs w:val="22"/>
        </w:rPr>
        <w:t>¿Cuándo se vacunará?</w:t>
      </w:r>
    </w:p>
    <w:p w14:paraId="2ED56655" w14:textId="66B04789" w:rsidR="00E37D3A" w:rsidRPr="0062452A" w:rsidRDefault="00E37D3A" w:rsidP="00E37D3A">
      <w:pPr>
        <w:ind w:right="50"/>
        <w:rPr>
          <w:rFonts w:ascii="gobCL" w:hAnsi="gobCL" w:cs="Arial"/>
          <w:b/>
          <w:sz w:val="20"/>
          <w:szCs w:val="20"/>
        </w:rPr>
      </w:pPr>
      <w:r>
        <w:rPr>
          <w:rFonts w:ascii="gobCL" w:hAnsi="gobCL" w:cs="Arial"/>
          <w:bCs/>
          <w:spacing w:val="-8"/>
          <w:sz w:val="20"/>
          <w:szCs w:val="20"/>
        </w:rPr>
        <w:t>De</w:t>
      </w:r>
      <w:r w:rsidRPr="00AA1FDC">
        <w:rPr>
          <w:rFonts w:ascii="gobCL" w:hAnsi="gobCL" w:cs="Arial"/>
          <w:bCs/>
          <w:spacing w:val="-8"/>
          <w:sz w:val="20"/>
          <w:szCs w:val="20"/>
        </w:rPr>
        <w:t xml:space="preserve">l día </w:t>
      </w:r>
      <w:r w:rsidRPr="00AA1FDC">
        <w:rPr>
          <w:rFonts w:ascii="gobCL" w:hAnsi="gobCL" w:cs="Arial"/>
          <w:bCs/>
          <w:spacing w:val="-8"/>
          <w:sz w:val="20"/>
          <w:szCs w:val="20"/>
          <w:u w:val="single"/>
        </w:rPr>
        <w:t xml:space="preserve">                 </w:t>
      </w:r>
      <w:r w:rsidR="00485D77">
        <w:rPr>
          <w:rFonts w:ascii="gobCL" w:hAnsi="gobCL" w:cs="Arial"/>
          <w:bCs/>
          <w:spacing w:val="-8"/>
          <w:sz w:val="20"/>
          <w:szCs w:val="20"/>
          <w:u w:val="single"/>
        </w:rPr>
        <w:t>07/10 al 10/10</w:t>
      </w:r>
      <w:r w:rsidRPr="00AA1FDC">
        <w:rPr>
          <w:rFonts w:ascii="gobCL" w:hAnsi="gobCL" w:cs="Arial"/>
          <w:bCs/>
          <w:spacing w:val="-8"/>
          <w:sz w:val="20"/>
          <w:szCs w:val="20"/>
          <w:u w:val="single"/>
        </w:rPr>
        <w:t xml:space="preserve">                    </w:t>
      </w:r>
      <w:r w:rsidRPr="00AA1FDC">
        <w:rPr>
          <w:rFonts w:ascii="gobCL" w:hAnsi="gobCL" w:cs="Arial"/>
          <w:bCs/>
          <w:spacing w:val="-8"/>
          <w:sz w:val="20"/>
          <w:szCs w:val="20"/>
        </w:rPr>
        <w:t xml:space="preserve"> del año </w:t>
      </w:r>
      <w:r>
        <w:rPr>
          <w:rFonts w:ascii="gobCL" w:hAnsi="gobCL" w:cs="Arial"/>
          <w:bCs/>
          <w:spacing w:val="-8"/>
          <w:sz w:val="20"/>
          <w:szCs w:val="20"/>
        </w:rPr>
        <w:t>2025</w:t>
      </w:r>
      <w:r w:rsidRPr="00AA1FDC">
        <w:rPr>
          <w:rFonts w:ascii="gobCL" w:hAnsi="gobCL" w:cs="Arial"/>
          <w:bCs/>
          <w:spacing w:val="-8"/>
          <w:sz w:val="20"/>
          <w:szCs w:val="20"/>
        </w:rPr>
        <w:t xml:space="preserve"> </w:t>
      </w:r>
      <w:r w:rsidRPr="00AA1FDC">
        <w:rPr>
          <w:rFonts w:ascii="gobCL" w:hAnsi="gobCL" w:cs="Arial"/>
          <w:bCs/>
          <w:spacing w:val="-8"/>
          <w:sz w:val="20"/>
          <w:szCs w:val="20"/>
          <w:lang w:val="es-CL"/>
        </w:rPr>
        <w:t xml:space="preserve">realizará la </w:t>
      </w:r>
      <w:r>
        <w:rPr>
          <w:rFonts w:ascii="gobCL" w:hAnsi="gobCL" w:cs="Arial"/>
          <w:bCs/>
          <w:spacing w:val="-8"/>
          <w:sz w:val="20"/>
          <w:szCs w:val="20"/>
          <w:lang w:val="es-CL"/>
        </w:rPr>
        <w:t>puesta al día</w:t>
      </w:r>
      <w:r w:rsidRPr="00AA1FDC">
        <w:rPr>
          <w:rFonts w:ascii="gobCL" w:hAnsi="gobCL" w:cs="Arial"/>
          <w:bCs/>
          <w:spacing w:val="-8"/>
          <w:sz w:val="20"/>
          <w:szCs w:val="20"/>
          <w:lang w:val="es-CL"/>
        </w:rPr>
        <w:t xml:space="preserve"> a los</w:t>
      </w:r>
      <w:r>
        <w:rPr>
          <w:rFonts w:ascii="gobCL" w:hAnsi="gobCL" w:cs="Arial"/>
          <w:bCs/>
          <w:spacing w:val="-8"/>
          <w:sz w:val="20"/>
          <w:szCs w:val="20"/>
          <w:lang w:val="es-CL"/>
        </w:rPr>
        <w:t xml:space="preserve">/las escolares de 1°, 2° y 5° </w:t>
      </w:r>
      <w:r w:rsidR="004C13AC">
        <w:rPr>
          <w:rFonts w:ascii="gobCL" w:hAnsi="gobCL" w:cs="Arial"/>
          <w:bCs/>
          <w:spacing w:val="-8"/>
          <w:sz w:val="20"/>
          <w:szCs w:val="20"/>
          <w:lang w:val="es-CL"/>
        </w:rPr>
        <w:t xml:space="preserve">año </w:t>
      </w:r>
      <w:r>
        <w:rPr>
          <w:rFonts w:ascii="gobCL" w:hAnsi="gobCL" w:cs="Arial"/>
          <w:bCs/>
          <w:spacing w:val="-8"/>
          <w:sz w:val="20"/>
          <w:szCs w:val="20"/>
          <w:lang w:val="es-CL"/>
        </w:rPr>
        <w:t>básico.</w:t>
      </w:r>
    </w:p>
    <w:p w14:paraId="4230A179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5EAF7379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  <w:r w:rsidRPr="002267E6">
        <w:rPr>
          <w:rFonts w:ascii="gobCL" w:hAnsi="gobCL" w:cs="Arial"/>
          <w:bCs/>
          <w:spacing w:val="-8"/>
          <w:sz w:val="22"/>
          <w:szCs w:val="22"/>
        </w:rPr>
        <w:t>Si su hijo/a no asiste a un establecimiento educacional o por alguna razón no recibió la vacuna, puede acudir a alguno de los vacunatorios públicos y privados en convenio con las SEREMI de Salud del país.</w:t>
      </w:r>
    </w:p>
    <w:p w14:paraId="0BEDE4F8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1A9F4C4B" w14:textId="77777777" w:rsidR="00E37D3A" w:rsidRPr="00E37D3A" w:rsidRDefault="00E37D3A" w:rsidP="00E37D3A">
      <w:pPr>
        <w:widowControl/>
        <w:autoSpaceDE/>
        <w:autoSpaceDN/>
        <w:ind w:right="759"/>
        <w:jc w:val="both"/>
        <w:rPr>
          <w:rFonts w:ascii="gobCL" w:eastAsia="Times New Roman" w:hAnsi="gobCL" w:cs="Arial"/>
          <w:bCs/>
          <w:sz w:val="20"/>
          <w:szCs w:val="20"/>
          <w:lang w:eastAsia="es-ES"/>
        </w:rPr>
      </w:pPr>
      <w:r w:rsidRPr="00E37D3A">
        <w:rPr>
          <w:rFonts w:ascii="gobCL" w:eastAsia="Times New Roman" w:hAnsi="gobCL" w:cs="Arial"/>
          <w:b/>
          <w:sz w:val="20"/>
          <w:szCs w:val="20"/>
          <w:lang w:eastAsia="es-ES"/>
        </w:rPr>
        <w:t xml:space="preserve">¿Qué establecimiento de salud es el responsable de la vacunación? </w:t>
      </w:r>
      <w:r w:rsidRPr="00E37D3A">
        <w:rPr>
          <w:rFonts w:ascii="gobCL" w:eastAsia="Times New Roman" w:hAnsi="gobCL" w:cs="Arial"/>
          <w:sz w:val="20"/>
          <w:szCs w:val="20"/>
          <w:lang w:eastAsia="es-ES"/>
        </w:rPr>
        <w:t xml:space="preserve">Equipo de vacunación </w:t>
      </w:r>
      <w:r w:rsidRPr="00E37D3A">
        <w:rPr>
          <w:rFonts w:ascii="gobCL" w:eastAsia="Times New Roman" w:hAnsi="gobCL" w:cs="Arial"/>
          <w:bCs/>
          <w:spacing w:val="-8"/>
          <w:sz w:val="20"/>
          <w:szCs w:val="20"/>
          <w:lang w:eastAsia="es-ES"/>
        </w:rPr>
        <w:t>CESFAM</w:t>
      </w:r>
      <w:r w:rsidRPr="00E37D3A">
        <w:rPr>
          <w:rFonts w:ascii="gobCL" w:eastAsia="Times New Roman" w:hAnsi="gobCL" w:cs="Arial"/>
          <w:bCs/>
          <w:sz w:val="20"/>
          <w:szCs w:val="20"/>
          <w:lang w:eastAsia="es-ES"/>
        </w:rPr>
        <w:t xml:space="preserve"> El Abrazo Dr. Salvador Allende </w:t>
      </w:r>
      <w:proofErr w:type="spellStart"/>
      <w:r w:rsidRPr="00E37D3A">
        <w:rPr>
          <w:rFonts w:ascii="gobCL" w:eastAsia="Times New Roman" w:hAnsi="gobCL" w:cs="Arial"/>
          <w:bCs/>
          <w:sz w:val="20"/>
          <w:szCs w:val="20"/>
          <w:lang w:eastAsia="es-ES"/>
        </w:rPr>
        <w:t>Gossens</w:t>
      </w:r>
      <w:proofErr w:type="spellEnd"/>
    </w:p>
    <w:p w14:paraId="6C3E8946" w14:textId="77777777" w:rsidR="00E37D3A" w:rsidRPr="00E37D3A" w:rsidRDefault="00E37D3A" w:rsidP="00E37D3A">
      <w:pPr>
        <w:widowControl/>
        <w:autoSpaceDE/>
        <w:autoSpaceDN/>
        <w:ind w:right="759"/>
        <w:jc w:val="both"/>
        <w:rPr>
          <w:rFonts w:ascii="gobCL" w:eastAsia="Times New Roman" w:hAnsi="gobCL" w:cs="Arial"/>
          <w:b/>
          <w:sz w:val="20"/>
          <w:szCs w:val="20"/>
          <w:lang w:eastAsia="es-ES"/>
        </w:rPr>
      </w:pPr>
    </w:p>
    <w:p w14:paraId="36252CD4" w14:textId="77777777" w:rsidR="00E37D3A" w:rsidRPr="00E37D3A" w:rsidRDefault="00E37D3A" w:rsidP="00E37D3A">
      <w:pPr>
        <w:widowControl/>
        <w:autoSpaceDE/>
        <w:autoSpaceDN/>
        <w:spacing w:line="264" w:lineRule="auto"/>
        <w:ind w:right="50"/>
        <w:jc w:val="center"/>
        <w:rPr>
          <w:rFonts w:ascii="gobCL" w:eastAsia="Times New Roman" w:hAnsi="gobCL" w:cs="Arial"/>
          <w:b/>
          <w:bCs/>
          <w:sz w:val="20"/>
          <w:szCs w:val="20"/>
          <w:lang w:val="es-MX" w:eastAsia="es-ES"/>
        </w:rPr>
      </w:pPr>
    </w:p>
    <w:p w14:paraId="4B359828" w14:textId="52D45D80" w:rsidR="00E37D3A" w:rsidRPr="00E37D3A" w:rsidRDefault="00E37D3A" w:rsidP="00E37D3A">
      <w:pPr>
        <w:widowControl/>
        <w:tabs>
          <w:tab w:val="left" w:pos="1400"/>
          <w:tab w:val="left" w:pos="3611"/>
          <w:tab w:val="left" w:pos="5045"/>
        </w:tabs>
        <w:autoSpaceDE/>
        <w:autoSpaceDN/>
        <w:spacing w:before="37"/>
        <w:ind w:right="50"/>
        <w:rPr>
          <w:rFonts w:ascii="gobCL" w:eastAsia="Times New Roman" w:hAnsi="gobCL" w:cs="Arial"/>
          <w:bCs/>
          <w:sz w:val="20"/>
          <w:szCs w:val="20"/>
          <w:lang w:val="es-MX" w:eastAsia="es-ES"/>
        </w:rPr>
      </w:pPr>
      <w:r w:rsidRPr="00E37D3A">
        <w:rPr>
          <w:rFonts w:ascii="gobCL" w:eastAsia="Times New Roman" w:hAnsi="gobCL" w:cs="Arial"/>
          <w:bCs/>
          <w:w w:val="95"/>
          <w:sz w:val="20"/>
          <w:szCs w:val="20"/>
          <w:lang w:val="es-MX" w:eastAsia="es-ES"/>
        </w:rPr>
        <w:t>Fecha:</w:t>
      </w:r>
      <w:r w:rsidRPr="00E37D3A">
        <w:rPr>
          <w:rFonts w:ascii="gobCL" w:eastAsia="Times New Roman" w:hAnsi="gobCL" w:cs="Arial"/>
          <w:bCs/>
          <w:spacing w:val="-7"/>
          <w:w w:val="95"/>
          <w:sz w:val="20"/>
          <w:szCs w:val="20"/>
          <w:lang w:val="es-MX" w:eastAsia="es-ES"/>
        </w:rPr>
        <w:t xml:space="preserve"> </w:t>
      </w:r>
      <w:r w:rsidRPr="00E37D3A">
        <w:rPr>
          <w:rFonts w:ascii="gobCL" w:eastAsia="Times New Roman" w:hAnsi="gobCL" w:cs="Arial"/>
          <w:bCs/>
          <w:sz w:val="20"/>
          <w:szCs w:val="20"/>
          <w:u w:val="single" w:color="58595B"/>
          <w:lang w:val="es-MX" w:eastAsia="es-ES"/>
        </w:rPr>
        <w:tab/>
      </w:r>
      <w:r w:rsidR="00485D77">
        <w:rPr>
          <w:rFonts w:ascii="gobCL" w:eastAsia="Times New Roman" w:hAnsi="gobCL" w:cs="Arial"/>
          <w:bCs/>
          <w:sz w:val="20"/>
          <w:szCs w:val="20"/>
          <w:u w:val="single" w:color="58595B"/>
          <w:lang w:val="es-MX" w:eastAsia="es-ES"/>
        </w:rPr>
        <w:t>29</w:t>
      </w:r>
      <w:r w:rsidRPr="00E37D3A">
        <w:rPr>
          <w:rFonts w:ascii="gobCL" w:eastAsia="Times New Roman" w:hAnsi="gobCL" w:cs="Arial"/>
          <w:bCs/>
          <w:sz w:val="20"/>
          <w:szCs w:val="20"/>
          <w:u w:val="single" w:color="58595B"/>
          <w:lang w:val="es-MX" w:eastAsia="es-ES"/>
        </w:rPr>
        <w:t xml:space="preserve">                    </w:t>
      </w:r>
      <w:r w:rsidRPr="00E37D3A">
        <w:rPr>
          <w:rFonts w:ascii="gobCL" w:eastAsia="Times New Roman" w:hAnsi="gobCL" w:cs="Arial"/>
          <w:bCs/>
          <w:w w:val="95"/>
          <w:sz w:val="20"/>
          <w:szCs w:val="20"/>
          <w:lang w:val="es-MX" w:eastAsia="es-ES"/>
        </w:rPr>
        <w:t>de</w:t>
      </w:r>
      <w:r w:rsidRPr="00E37D3A">
        <w:rPr>
          <w:rFonts w:ascii="gobCL" w:eastAsia="Times New Roman" w:hAnsi="gobCL" w:cs="Arial"/>
          <w:bCs/>
          <w:spacing w:val="-7"/>
          <w:w w:val="95"/>
          <w:sz w:val="20"/>
          <w:szCs w:val="20"/>
          <w:lang w:val="es-MX" w:eastAsia="es-ES"/>
        </w:rPr>
        <w:t xml:space="preserve"> </w:t>
      </w:r>
      <w:r w:rsidRPr="00E37D3A">
        <w:rPr>
          <w:rFonts w:ascii="gobCL" w:eastAsia="Times New Roman" w:hAnsi="gobCL" w:cs="Arial"/>
          <w:bCs/>
          <w:sz w:val="20"/>
          <w:szCs w:val="20"/>
          <w:u w:val="single" w:color="58595B"/>
          <w:lang w:val="es-MX" w:eastAsia="es-ES"/>
        </w:rPr>
        <w:tab/>
        <w:t xml:space="preserve"> Julio                   </w:t>
      </w:r>
      <w:r w:rsidRPr="00E37D3A">
        <w:rPr>
          <w:rFonts w:ascii="gobCL" w:eastAsia="Times New Roman" w:hAnsi="gobCL" w:cs="Arial"/>
          <w:bCs/>
          <w:w w:val="90"/>
          <w:sz w:val="20"/>
          <w:szCs w:val="20"/>
          <w:lang w:val="es-MX" w:eastAsia="es-ES"/>
        </w:rPr>
        <w:t>del</w:t>
      </w:r>
      <w:r w:rsidRPr="00E37D3A">
        <w:rPr>
          <w:rFonts w:ascii="gobCL" w:eastAsia="Times New Roman" w:hAnsi="gobCL" w:cs="Arial"/>
          <w:bCs/>
          <w:spacing w:val="-3"/>
          <w:w w:val="90"/>
          <w:sz w:val="20"/>
          <w:szCs w:val="20"/>
          <w:lang w:val="es-MX" w:eastAsia="es-ES"/>
        </w:rPr>
        <w:t xml:space="preserve"> </w:t>
      </w:r>
      <w:r w:rsidRPr="00E37D3A">
        <w:rPr>
          <w:rFonts w:ascii="gobCL" w:eastAsia="Times New Roman" w:hAnsi="gobCL" w:cs="Arial"/>
          <w:bCs/>
          <w:w w:val="90"/>
          <w:sz w:val="20"/>
          <w:szCs w:val="20"/>
          <w:lang w:val="es-MX" w:eastAsia="es-ES"/>
        </w:rPr>
        <w:t>año</w:t>
      </w:r>
      <w:r w:rsidRPr="00E37D3A">
        <w:rPr>
          <w:rFonts w:ascii="gobCL" w:eastAsia="Times New Roman" w:hAnsi="gobCL" w:cs="Arial"/>
          <w:bCs/>
          <w:spacing w:val="-3"/>
          <w:w w:val="90"/>
          <w:sz w:val="20"/>
          <w:szCs w:val="20"/>
          <w:lang w:val="es-MX" w:eastAsia="es-ES"/>
        </w:rPr>
        <w:t xml:space="preserve"> </w:t>
      </w:r>
      <w:r w:rsidRPr="00E37D3A">
        <w:rPr>
          <w:rFonts w:ascii="gobCL" w:eastAsia="Times New Roman" w:hAnsi="gobCL" w:cs="Arial"/>
          <w:bCs/>
          <w:spacing w:val="-5"/>
          <w:w w:val="90"/>
          <w:sz w:val="20"/>
          <w:szCs w:val="20"/>
          <w:lang w:val="es-MX" w:eastAsia="es-ES"/>
        </w:rPr>
        <w:t>2025</w:t>
      </w:r>
      <w:r w:rsidRPr="00E37D3A">
        <w:rPr>
          <w:rFonts w:ascii="gobCL" w:eastAsia="Times New Roman" w:hAnsi="gobCL" w:cs="Arial"/>
          <w:bCs/>
          <w:spacing w:val="-10"/>
          <w:w w:val="70"/>
          <w:sz w:val="20"/>
          <w:szCs w:val="20"/>
          <w:lang w:val="es-MX" w:eastAsia="es-ES"/>
        </w:rPr>
        <w:t>.</w:t>
      </w:r>
    </w:p>
    <w:p w14:paraId="2C564934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0543149B" w14:textId="77777777" w:rsidR="00CC4FA4" w:rsidRPr="002267E6" w:rsidRDefault="00CC4FA4" w:rsidP="00CC4FA4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p w14:paraId="2D3DC5B5" w14:textId="77777777" w:rsidR="004F45EC" w:rsidRPr="0024279B" w:rsidRDefault="004F45EC" w:rsidP="00937DB9">
      <w:pPr>
        <w:pStyle w:val="Textoindependiente"/>
        <w:spacing w:line="264" w:lineRule="auto"/>
        <w:jc w:val="both"/>
        <w:rPr>
          <w:rFonts w:ascii="gobCL" w:hAnsi="gobCL" w:cs="Arial"/>
          <w:bCs/>
          <w:spacing w:val="-8"/>
          <w:sz w:val="22"/>
          <w:szCs w:val="22"/>
        </w:rPr>
      </w:pPr>
    </w:p>
    <w:sectPr w:rsidR="004F45EC" w:rsidRPr="0024279B" w:rsidSect="00CC4FA4">
      <w:headerReference w:type="default" r:id="rId7"/>
      <w:footerReference w:type="default" r:id="rId8"/>
      <w:pgSz w:w="12240" w:h="15840"/>
      <w:pgMar w:top="1440" w:right="1080" w:bottom="424" w:left="1080" w:header="441" w:footer="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E3C5" w14:textId="77777777" w:rsidR="00D4672E" w:rsidRDefault="00D4672E">
      <w:r>
        <w:separator/>
      </w:r>
    </w:p>
  </w:endnote>
  <w:endnote w:type="continuationSeparator" w:id="0">
    <w:p w14:paraId="49C3F3AE" w14:textId="77777777" w:rsidR="00D4672E" w:rsidRDefault="00D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4D"/>
    <w:family w:val="auto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1C56" w14:textId="4393A176" w:rsidR="001C2061" w:rsidRDefault="0024279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B1415CC" wp14:editId="3536044D">
              <wp:simplePos x="0" y="0"/>
              <wp:positionH relativeFrom="page">
                <wp:posOffset>7282815</wp:posOffset>
              </wp:positionH>
              <wp:positionV relativeFrom="page">
                <wp:posOffset>9845804</wp:posOffset>
              </wp:positionV>
              <wp:extent cx="615950" cy="223520"/>
              <wp:effectExtent l="0" t="0" r="6350" b="5080"/>
              <wp:wrapNone/>
              <wp:docPr id="57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950" cy="223520"/>
                        <a:chOff x="0" y="0"/>
                        <a:chExt cx="615950" cy="223520"/>
                      </a:xfrm>
                    </wpg:grpSpPr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54000" cy="22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223520">
                              <a:moveTo>
                                <a:pt x="253441" y="0"/>
                              </a:moveTo>
                              <a:lnTo>
                                <a:pt x="0" y="0"/>
                              </a:lnTo>
                              <a:lnTo>
                                <a:pt x="0" y="223202"/>
                              </a:lnTo>
                              <a:lnTo>
                                <a:pt x="253441" y="223202"/>
                              </a:lnTo>
                              <a:lnTo>
                                <a:pt x="2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253441" y="0"/>
                          <a:ext cx="362585" cy="22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223520">
                              <a:moveTo>
                                <a:pt x="0" y="223202"/>
                              </a:moveTo>
                              <a:lnTo>
                                <a:pt x="0" y="0"/>
                              </a:lnTo>
                              <a:lnTo>
                                <a:pt x="361975" y="0"/>
                              </a:lnTo>
                              <a:lnTo>
                                <a:pt x="361975" y="223202"/>
                              </a:lnTo>
                              <a:lnTo>
                                <a:pt x="0" y="223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197C845A" id="Group 57" o:spid="_x0000_s1026" style="position:absolute;margin-left:573.45pt;margin-top:775.25pt;width:48.5pt;height:17.6pt;z-index:251658240;mso-wrap-distance-left:0;mso-wrap-distance-right:0;mso-position-horizontal-relative:page;mso-position-vertical-relative:page" coordsize="6159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">
              <v:shape id="Graphic 58" o:spid="_x0000_s1027" style="position:absolute;width:2540;height:2235;visibility:visible;mso-wrap-style:square;v-text-anchor:top" coordsize="25400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" path="m253441,l,,,223202r253441,l253441,xe" fillcolor="#006cb7" stroked="f">
                <v:path arrowok="t"/>
              </v:shape>
              <v:shape id="Graphic 59" o:spid="_x0000_s1028" style="position:absolute;left:2534;width:3626;height:2235;visibility:visible;mso-wrap-style:square;v-text-anchor:top" coordsize="36258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" path="m,223202l,,361975,r,223202l,223202xe" fillcolor="#ef4044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36D7" w14:textId="77777777" w:rsidR="00D4672E" w:rsidRDefault="00D4672E">
      <w:r>
        <w:separator/>
      </w:r>
    </w:p>
  </w:footnote>
  <w:footnote w:type="continuationSeparator" w:id="0">
    <w:p w14:paraId="322E0C06" w14:textId="77777777" w:rsidR="00D4672E" w:rsidRDefault="00D4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1C55" w14:textId="67DA7A53" w:rsidR="001C2061" w:rsidRDefault="0024279B">
    <w:pPr>
      <w:pStyle w:val="Textoindependiente"/>
      <w:spacing w:line="14" w:lineRule="auto"/>
      <w:rPr>
        <w:sz w:val="20"/>
      </w:rPr>
    </w:pPr>
    <w:r>
      <w:rPr>
        <w:rFonts w:ascii="Times New Roman"/>
        <w:noProof/>
        <w:sz w:val="8"/>
        <w:lang w:val="es-CL" w:eastAsia="es-CL"/>
      </w:rPr>
      <w:drawing>
        <wp:anchor distT="0" distB="0" distL="0" distR="0" simplePos="0" relativeHeight="251656192" behindDoc="0" locked="0" layoutInCell="1" allowOverlap="1" wp14:anchorId="1E4C48C3" wp14:editId="11A60782">
          <wp:simplePos x="0" y="0"/>
          <wp:positionH relativeFrom="page">
            <wp:posOffset>685800</wp:posOffset>
          </wp:positionH>
          <wp:positionV relativeFrom="paragraph">
            <wp:posOffset>0</wp:posOffset>
          </wp:positionV>
          <wp:extent cx="666427" cy="596685"/>
          <wp:effectExtent l="0" t="0" r="0" b="635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27" cy="596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127"/>
    <w:multiLevelType w:val="hybridMultilevel"/>
    <w:tmpl w:val="B7A47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F92"/>
    <w:multiLevelType w:val="hybridMultilevel"/>
    <w:tmpl w:val="1618DB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B9"/>
    <w:multiLevelType w:val="hybridMultilevel"/>
    <w:tmpl w:val="BA0AB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36D90"/>
    <w:multiLevelType w:val="hybridMultilevel"/>
    <w:tmpl w:val="C7640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18E0"/>
    <w:multiLevelType w:val="hybridMultilevel"/>
    <w:tmpl w:val="FE6E5454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B37E4C"/>
    <w:multiLevelType w:val="hybridMultilevel"/>
    <w:tmpl w:val="09AAF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704"/>
    <w:multiLevelType w:val="hybridMultilevel"/>
    <w:tmpl w:val="9C46B50E"/>
    <w:lvl w:ilvl="0" w:tplc="6EF66A22">
      <w:numFmt w:val="bullet"/>
      <w:lvlText w:val="•"/>
      <w:lvlJc w:val="left"/>
      <w:pPr>
        <w:ind w:left="1040" w:hanging="227"/>
      </w:pPr>
      <w:rPr>
        <w:rFonts w:ascii="Tahoma" w:eastAsia="Tahoma" w:hAnsi="Tahoma" w:cs="Tahoma" w:hint="default"/>
        <w:b w:val="0"/>
        <w:bCs w:val="0"/>
        <w:i w:val="0"/>
        <w:iCs w:val="0"/>
        <w:color w:val="58595B"/>
        <w:spacing w:val="0"/>
        <w:w w:val="79"/>
        <w:sz w:val="24"/>
        <w:szCs w:val="24"/>
        <w:lang w:val="es-ES" w:eastAsia="en-US" w:bidi="ar-SA"/>
      </w:rPr>
    </w:lvl>
    <w:lvl w:ilvl="1" w:tplc="316EB416">
      <w:numFmt w:val="bullet"/>
      <w:lvlText w:val="•"/>
      <w:lvlJc w:val="left"/>
      <w:pPr>
        <w:ind w:left="2088" w:hanging="227"/>
      </w:pPr>
      <w:rPr>
        <w:rFonts w:hint="default"/>
        <w:lang w:val="es-ES" w:eastAsia="en-US" w:bidi="ar-SA"/>
      </w:rPr>
    </w:lvl>
    <w:lvl w:ilvl="2" w:tplc="4726F40E">
      <w:numFmt w:val="bullet"/>
      <w:lvlText w:val="•"/>
      <w:lvlJc w:val="left"/>
      <w:pPr>
        <w:ind w:left="3136" w:hanging="227"/>
      </w:pPr>
      <w:rPr>
        <w:rFonts w:hint="default"/>
        <w:lang w:val="es-ES" w:eastAsia="en-US" w:bidi="ar-SA"/>
      </w:rPr>
    </w:lvl>
    <w:lvl w:ilvl="3" w:tplc="64EABFE4">
      <w:numFmt w:val="bullet"/>
      <w:lvlText w:val="•"/>
      <w:lvlJc w:val="left"/>
      <w:pPr>
        <w:ind w:left="4184" w:hanging="227"/>
      </w:pPr>
      <w:rPr>
        <w:rFonts w:hint="default"/>
        <w:lang w:val="es-ES" w:eastAsia="en-US" w:bidi="ar-SA"/>
      </w:rPr>
    </w:lvl>
    <w:lvl w:ilvl="4" w:tplc="3E746108">
      <w:numFmt w:val="bullet"/>
      <w:lvlText w:val="•"/>
      <w:lvlJc w:val="left"/>
      <w:pPr>
        <w:ind w:left="5232" w:hanging="227"/>
      </w:pPr>
      <w:rPr>
        <w:rFonts w:hint="default"/>
        <w:lang w:val="es-ES" w:eastAsia="en-US" w:bidi="ar-SA"/>
      </w:rPr>
    </w:lvl>
    <w:lvl w:ilvl="5" w:tplc="EEF24B28">
      <w:numFmt w:val="bullet"/>
      <w:lvlText w:val="•"/>
      <w:lvlJc w:val="left"/>
      <w:pPr>
        <w:ind w:left="6280" w:hanging="227"/>
      </w:pPr>
      <w:rPr>
        <w:rFonts w:hint="default"/>
        <w:lang w:val="es-ES" w:eastAsia="en-US" w:bidi="ar-SA"/>
      </w:rPr>
    </w:lvl>
    <w:lvl w:ilvl="6" w:tplc="C3D2C66E">
      <w:numFmt w:val="bullet"/>
      <w:lvlText w:val="•"/>
      <w:lvlJc w:val="left"/>
      <w:pPr>
        <w:ind w:left="7328" w:hanging="227"/>
      </w:pPr>
      <w:rPr>
        <w:rFonts w:hint="default"/>
        <w:lang w:val="es-ES" w:eastAsia="en-US" w:bidi="ar-SA"/>
      </w:rPr>
    </w:lvl>
    <w:lvl w:ilvl="7" w:tplc="15BAEAD4">
      <w:numFmt w:val="bullet"/>
      <w:lvlText w:val="•"/>
      <w:lvlJc w:val="left"/>
      <w:pPr>
        <w:ind w:left="8376" w:hanging="227"/>
      </w:pPr>
      <w:rPr>
        <w:rFonts w:hint="default"/>
        <w:lang w:val="es-ES" w:eastAsia="en-US" w:bidi="ar-SA"/>
      </w:rPr>
    </w:lvl>
    <w:lvl w:ilvl="8" w:tplc="47D88AB0">
      <w:numFmt w:val="bullet"/>
      <w:lvlText w:val="•"/>
      <w:lvlJc w:val="left"/>
      <w:pPr>
        <w:ind w:left="9424" w:hanging="227"/>
      </w:pPr>
      <w:rPr>
        <w:rFonts w:hint="default"/>
        <w:lang w:val="es-ES" w:eastAsia="en-US" w:bidi="ar-SA"/>
      </w:rPr>
    </w:lvl>
  </w:abstractNum>
  <w:abstractNum w:abstractNumId="7" w15:restartNumberingAfterBreak="0">
    <w:nsid w:val="5D3B6571"/>
    <w:multiLevelType w:val="hybridMultilevel"/>
    <w:tmpl w:val="B9207E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6D3"/>
    <w:multiLevelType w:val="hybridMultilevel"/>
    <w:tmpl w:val="42064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C0C46"/>
    <w:multiLevelType w:val="hybridMultilevel"/>
    <w:tmpl w:val="30E8BD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1"/>
    <w:rsid w:val="00021FBC"/>
    <w:rsid w:val="00064625"/>
    <w:rsid w:val="0008126E"/>
    <w:rsid w:val="00086DF4"/>
    <w:rsid w:val="000E5DE6"/>
    <w:rsid w:val="0011318C"/>
    <w:rsid w:val="00122C5F"/>
    <w:rsid w:val="00134D92"/>
    <w:rsid w:val="00141918"/>
    <w:rsid w:val="001545EF"/>
    <w:rsid w:val="00175BEE"/>
    <w:rsid w:val="001A5E44"/>
    <w:rsid w:val="001C2061"/>
    <w:rsid w:val="001D31D8"/>
    <w:rsid w:val="0024279B"/>
    <w:rsid w:val="00266E6B"/>
    <w:rsid w:val="0029063A"/>
    <w:rsid w:val="002E0A5A"/>
    <w:rsid w:val="002E533B"/>
    <w:rsid w:val="0031661D"/>
    <w:rsid w:val="00366FF4"/>
    <w:rsid w:val="003A064E"/>
    <w:rsid w:val="003A5B9C"/>
    <w:rsid w:val="00426D45"/>
    <w:rsid w:val="0043110D"/>
    <w:rsid w:val="0043154E"/>
    <w:rsid w:val="004315FB"/>
    <w:rsid w:val="00454069"/>
    <w:rsid w:val="004602DA"/>
    <w:rsid w:val="00485D77"/>
    <w:rsid w:val="004C13AC"/>
    <w:rsid w:val="004F45EC"/>
    <w:rsid w:val="00523384"/>
    <w:rsid w:val="00531CB6"/>
    <w:rsid w:val="00552983"/>
    <w:rsid w:val="0055646D"/>
    <w:rsid w:val="0056594B"/>
    <w:rsid w:val="005A48C9"/>
    <w:rsid w:val="0062401E"/>
    <w:rsid w:val="00635332"/>
    <w:rsid w:val="00676D20"/>
    <w:rsid w:val="006C0CDD"/>
    <w:rsid w:val="006E21A8"/>
    <w:rsid w:val="006E4E55"/>
    <w:rsid w:val="00724134"/>
    <w:rsid w:val="0073497E"/>
    <w:rsid w:val="007B07EC"/>
    <w:rsid w:val="007E33A7"/>
    <w:rsid w:val="007F1343"/>
    <w:rsid w:val="008258E0"/>
    <w:rsid w:val="00895B30"/>
    <w:rsid w:val="008A3DED"/>
    <w:rsid w:val="008B7220"/>
    <w:rsid w:val="008E6931"/>
    <w:rsid w:val="00901924"/>
    <w:rsid w:val="0090680F"/>
    <w:rsid w:val="00926F67"/>
    <w:rsid w:val="00937DB9"/>
    <w:rsid w:val="00954B43"/>
    <w:rsid w:val="009A3F98"/>
    <w:rsid w:val="009F2C79"/>
    <w:rsid w:val="00A123B1"/>
    <w:rsid w:val="00A5186A"/>
    <w:rsid w:val="00A62BE8"/>
    <w:rsid w:val="00A82B9D"/>
    <w:rsid w:val="00A862D3"/>
    <w:rsid w:val="00A95251"/>
    <w:rsid w:val="00AA0025"/>
    <w:rsid w:val="00AB4DE4"/>
    <w:rsid w:val="00AE1997"/>
    <w:rsid w:val="00B14D55"/>
    <w:rsid w:val="00B165E8"/>
    <w:rsid w:val="00B43AE0"/>
    <w:rsid w:val="00BA7B33"/>
    <w:rsid w:val="00C3613B"/>
    <w:rsid w:val="00C9619B"/>
    <w:rsid w:val="00CA4206"/>
    <w:rsid w:val="00CC4FA4"/>
    <w:rsid w:val="00CF5605"/>
    <w:rsid w:val="00D23ACB"/>
    <w:rsid w:val="00D43E81"/>
    <w:rsid w:val="00D45455"/>
    <w:rsid w:val="00D4672E"/>
    <w:rsid w:val="00D6422B"/>
    <w:rsid w:val="00D70AA2"/>
    <w:rsid w:val="00E2215C"/>
    <w:rsid w:val="00E23711"/>
    <w:rsid w:val="00E37D3A"/>
    <w:rsid w:val="00EA1919"/>
    <w:rsid w:val="00EC767C"/>
    <w:rsid w:val="00EF2C84"/>
    <w:rsid w:val="00EF668A"/>
    <w:rsid w:val="00F474A1"/>
    <w:rsid w:val="00F61717"/>
    <w:rsid w:val="00F97F70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11C1D"/>
  <w15:docId w15:val="{687B0267-883F-4F93-A60F-9D46880E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1"/>
      <w:ind w:left="3869" w:right="1295" w:hanging="1541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line="280" w:lineRule="exact"/>
      <w:ind w:left="1039" w:hanging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B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29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98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29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983"/>
    <w:rPr>
      <w:rFonts w:ascii="Tahoma" w:eastAsia="Tahoma" w:hAnsi="Tahoma" w:cs="Tahoma"/>
      <w:lang w:val="es-ES"/>
    </w:rPr>
  </w:style>
  <w:style w:type="paragraph" w:customStyle="1" w:styleId="Default">
    <w:name w:val="Default"/>
    <w:rsid w:val="00E37D3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Salud</dc:creator>
  <cp:lastModifiedBy>secretaria</cp:lastModifiedBy>
  <cp:revision>2</cp:revision>
  <cp:lastPrinted>2025-06-23T14:48:00Z</cp:lastPrinted>
  <dcterms:created xsi:type="dcterms:W3CDTF">2025-09-09T13:40:00Z</dcterms:created>
  <dcterms:modified xsi:type="dcterms:W3CDTF">2025-09-09T13:40:00Z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17.0</vt:lpwstr>
  </property>
</Properties>
</file>